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2"/>
        <w:gridCol w:w="86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412" w:type="dxa"/>
            <w:vMerge w:val="restart"/>
          </w:tcPr>
          <w:p>
            <w:pPr>
              <w:spacing w:after="0" w:line="276" w:lineRule="auto"/>
              <w:rPr>
                <w:rFonts w:ascii="Times New Roman" w:hAnsi="Times New Roman" w:cs="Times New Roman"/>
                <w:sz w:val="24"/>
                <w:szCs w:val="24"/>
              </w:rPr>
            </w:pPr>
            <w:r>
              <w:rPr>
                <w:rFonts w:ascii="Times New Roman" w:hAnsi="Times New Roman" w:cs="Times New Roman"/>
                <w:sz w:val="24"/>
                <w:szCs w:val="24"/>
              </w:rPr>
              <w:drawing>
                <wp:inline distT="0" distB="0" distL="0" distR="0">
                  <wp:extent cx="712470" cy="666115"/>
                  <wp:effectExtent l="19050" t="0" r="0" b="0"/>
                  <wp:docPr id="4" name="Picture 4" descr="http://upload.wikimedia.org/wikipedia/en/a/ae/Adce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upload.wikimedia.org/wikipedia/en/a/ae/Adcet_logo.png"/>
                          <pic:cNvPicPr>
                            <a:picLocks noChangeAspect="1" noChangeArrowheads="1"/>
                          </pic:cNvPicPr>
                        </pic:nvPicPr>
                        <pic:blipFill>
                          <a:blip r:embed="rId6"/>
                          <a:srcRect/>
                          <a:stretch>
                            <a:fillRect/>
                          </a:stretch>
                        </pic:blipFill>
                        <pic:spPr>
                          <a:xfrm>
                            <a:off x="0" y="0"/>
                            <a:ext cx="719043" cy="672513"/>
                          </a:xfrm>
                          <a:prstGeom prst="rect">
                            <a:avLst/>
                          </a:prstGeom>
                          <a:noFill/>
                          <a:ln w="9525">
                            <a:noFill/>
                            <a:miter lim="800000"/>
                            <a:headEnd/>
                            <a:tailEnd/>
                          </a:ln>
                        </pic:spPr>
                      </pic:pic>
                    </a:graphicData>
                  </a:graphic>
                </wp:inline>
              </w:drawing>
            </w:r>
          </w:p>
          <w:p>
            <w:pPr>
              <w:spacing w:after="0" w:line="276" w:lineRule="auto"/>
              <w:rPr>
                <w:rFonts w:ascii="Times New Roman" w:hAnsi="Times New Roman" w:cs="Times New Roman"/>
                <w:sz w:val="24"/>
                <w:szCs w:val="24"/>
              </w:rPr>
            </w:pPr>
            <w:r>
              <w:rPr>
                <w:rFonts w:ascii="Times New Roman" w:hAnsi="Times New Roman" w:cs="Times New Roman"/>
                <w:sz w:val="24"/>
                <w:szCs w:val="24"/>
              </w:rPr>
              <w:drawing>
                <wp:inline distT="0" distB="0" distL="0" distR="0">
                  <wp:extent cx="712470" cy="182880"/>
                  <wp:effectExtent l="19050" t="0" r="0" b="0"/>
                  <wp:docPr id="1" name="Picture 1" descr="C:\Documents and Settings\Admin\Desktop\ADCET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Documents and Settings\Admin\Desktop\ADCET New Logo.JPG"/>
                          <pic:cNvPicPr>
                            <a:picLocks noChangeAspect="1" noChangeArrowheads="1"/>
                          </pic:cNvPicPr>
                        </pic:nvPicPr>
                        <pic:blipFill>
                          <a:blip r:embed="rId7" cstate="print"/>
                          <a:srcRect/>
                          <a:stretch>
                            <a:fillRect/>
                          </a:stretch>
                        </pic:blipFill>
                        <pic:spPr>
                          <a:xfrm>
                            <a:off x="0" y="0"/>
                            <a:ext cx="713110" cy="183044"/>
                          </a:xfrm>
                          <a:prstGeom prst="rect">
                            <a:avLst/>
                          </a:prstGeom>
                          <a:noFill/>
                          <a:ln w="9525">
                            <a:noFill/>
                            <a:miter lim="800000"/>
                            <a:headEnd/>
                            <a:tailEnd/>
                          </a:ln>
                        </pic:spPr>
                      </pic:pic>
                    </a:graphicData>
                  </a:graphic>
                </wp:inline>
              </w:drawing>
            </w:r>
          </w:p>
        </w:tc>
        <w:tc>
          <w:tcPr>
            <w:tcW w:w="8612" w:type="dxa"/>
          </w:tcPr>
          <w:p>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Sant Dnyaneshwar Shikshan Sanstha’s</w:t>
            </w:r>
          </w:p>
          <w:p>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Annasaheb Dange College of Engineering &amp; Technology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 w:hRule="atLeast"/>
          <w:jc w:val="center"/>
        </w:trPr>
        <w:tc>
          <w:tcPr>
            <w:tcW w:w="1412" w:type="dxa"/>
            <w:vMerge w:val="continue"/>
          </w:tcPr>
          <w:p>
            <w:pPr>
              <w:spacing w:after="0" w:line="276" w:lineRule="auto"/>
              <w:rPr>
                <w:rFonts w:ascii="Times New Roman" w:hAnsi="Times New Roman" w:cs="Times New Roman"/>
                <w:sz w:val="24"/>
                <w:szCs w:val="24"/>
              </w:rPr>
            </w:pPr>
          </w:p>
        </w:tc>
        <w:tc>
          <w:tcPr>
            <w:tcW w:w="8612" w:type="dxa"/>
          </w:tcPr>
          <w:p>
            <w:pPr>
              <w:spacing w:after="0" w:line="276" w:lineRule="auto"/>
              <w:jc w:val="center"/>
              <w:rPr>
                <w:rFonts w:ascii="Times New Roman" w:hAnsi="Times New Roman" w:cs="Times New Roman"/>
                <w:sz w:val="28"/>
                <w:szCs w:val="28"/>
              </w:rPr>
            </w:pPr>
            <w:r>
              <w:rPr>
                <w:rFonts w:ascii="Times New Roman" w:hAnsi="Times New Roman" w:cs="Times New Roman"/>
                <w:b/>
                <w:bCs/>
                <w:sz w:val="28"/>
                <w:szCs w:val="28"/>
              </w:rPr>
              <w:t>Department of Mechanical Engineering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 w:hRule="atLeast"/>
          <w:jc w:val="center"/>
        </w:trPr>
        <w:tc>
          <w:tcPr>
            <w:tcW w:w="1412" w:type="dxa"/>
            <w:vMerge w:val="continue"/>
          </w:tcPr>
          <w:p>
            <w:pPr>
              <w:spacing w:after="0" w:line="276" w:lineRule="auto"/>
              <w:rPr>
                <w:rFonts w:ascii="Times New Roman" w:hAnsi="Times New Roman" w:cs="Times New Roman"/>
                <w:sz w:val="24"/>
                <w:szCs w:val="24"/>
              </w:rPr>
            </w:pPr>
          </w:p>
        </w:tc>
        <w:tc>
          <w:tcPr>
            <w:tcW w:w="8612" w:type="dxa"/>
          </w:tcPr>
          <w:p>
            <w:pPr>
              <w:spacing w:after="0" w:line="240" w:lineRule="auto"/>
              <w:jc w:val="center"/>
              <w:rPr>
                <w:rFonts w:ascii="Times New Roman" w:hAnsi="Times New Roman" w:cs="Times New Roman"/>
                <w:sz w:val="28"/>
                <w:szCs w:val="28"/>
              </w:rPr>
            </w:pPr>
          </w:p>
        </w:tc>
      </w:tr>
    </w:tbl>
    <w:p>
      <w:pPr>
        <w:spacing w:before="240" w:line="360" w:lineRule="auto"/>
        <w:jc w:val="center"/>
        <w:rPr>
          <w:rFonts w:hint="default" w:ascii="Times New Roman" w:hAnsi="Times New Roman" w:cs="Times New Roman"/>
          <w:b/>
          <w:bCs/>
          <w:sz w:val="36"/>
          <w:szCs w:val="36"/>
          <w:lang w:val="en-IN"/>
        </w:rPr>
      </w:pPr>
      <w:r>
        <w:rPr>
          <w:rFonts w:hint="default" w:ascii="Times New Roman" w:hAnsi="Times New Roman" w:cs="Times New Roman"/>
          <w:b/>
          <w:bCs/>
          <w:sz w:val="36"/>
          <w:szCs w:val="36"/>
          <w:lang w:val="en-IN"/>
        </w:rPr>
        <w:t>Innovation in Teaching Leaning</w:t>
      </w:r>
    </w:p>
    <w:p>
      <w:pPr>
        <w:spacing w:before="240" w:line="360" w:lineRule="auto"/>
        <w:rPr>
          <w:rFonts w:ascii="Times New Roman" w:hAnsi="Times New Roman" w:cs="Times New Roman"/>
          <w:sz w:val="24"/>
          <w:szCs w:val="24"/>
        </w:rPr>
      </w:pPr>
      <w:r>
        <w:rPr>
          <w:rFonts w:ascii="Times New Roman" w:hAnsi="Times New Roman" w:cs="Times New Roman"/>
          <w:sz w:val="24"/>
          <w:szCs w:val="24"/>
        </w:rPr>
        <w:t>Name of faculty: Mr. Ghanashyam Mahaling Chendke</w:t>
      </w:r>
    </w:p>
    <w:p>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Designation: Assistant Professor </w:t>
      </w:r>
    </w:p>
    <w:p>
      <w:pPr>
        <w:spacing w:before="240" w:line="360" w:lineRule="auto"/>
        <w:rPr>
          <w:rFonts w:hint="default" w:ascii="Times New Roman" w:hAnsi="Times New Roman" w:cs="Times New Roman"/>
          <w:sz w:val="24"/>
          <w:szCs w:val="24"/>
          <w:lang w:val="en-IN"/>
        </w:rPr>
      </w:pPr>
      <w:r>
        <w:rPr>
          <w:rFonts w:ascii="Times New Roman" w:hAnsi="Times New Roman" w:cs="Times New Roman"/>
          <w:sz w:val="24"/>
          <w:szCs w:val="24"/>
        </w:rPr>
        <w:t xml:space="preserve">Department: Mechanical Engineering </w:t>
      </w:r>
      <w:r>
        <w:rPr>
          <w:rFonts w:hint="default" w:ascii="Times New Roman" w:hAnsi="Times New Roman" w:cs="Times New Roman"/>
          <w:sz w:val="24"/>
          <w:szCs w:val="24"/>
          <w:lang w:val="en-IN"/>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lang w:val="en-IN"/>
        </w:rPr>
      </w:pPr>
      <w:r>
        <w:rPr>
          <w:rFonts w:hint="default" w:ascii="Times New Roman" w:hAnsi="Times New Roman" w:cs="Times New Roman"/>
          <w:sz w:val="24"/>
          <w:szCs w:val="24"/>
          <w:vertAlign w:val="baseline"/>
          <w:lang w:val="en-IN"/>
        </w:rPr>
        <w:t xml:space="preserve">Activity : VCRS Cycle Design and analysis using software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en-IN"/>
        </w:rPr>
      </w:pPr>
      <w:r>
        <w:rPr>
          <w:rFonts w:hint="default" w:ascii="Times New Roman" w:hAnsi="Times New Roman" w:cs="Times New Roman"/>
          <w:sz w:val="24"/>
          <w:szCs w:val="24"/>
          <w:vertAlign w:val="baseline"/>
          <w:lang w:val="en-IN"/>
        </w:rPr>
        <w:t xml:space="preserve">Class : TY - Refrigeration and Air Conditioning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 xml:space="preserve">Description: Software plays a crucial role in the design of refrigeration cycles, offering engineers and designers powerful tools to optimize efficiency, performance, and reliability. Here's how software is typically used in the design process: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IN"/>
        </w:rPr>
      </w:pPr>
      <w:r>
        <w:rPr>
          <w:rFonts w:hint="default" w:ascii="Times New Roman" w:hAnsi="Times New Roman" w:cs="Times New Roman"/>
          <w:b/>
          <w:bCs/>
          <w:sz w:val="24"/>
          <w:szCs w:val="24"/>
          <w:vertAlign w:val="baseline"/>
          <w:lang w:val="en-IN"/>
        </w:rPr>
        <w:t xml:space="preserve">System Modeling: </w:t>
      </w:r>
      <w:r>
        <w:rPr>
          <w:rFonts w:hint="default" w:ascii="Times New Roman" w:hAnsi="Times New Roman" w:cs="Times New Roman"/>
          <w:sz w:val="24"/>
          <w:szCs w:val="24"/>
          <w:vertAlign w:val="baseline"/>
          <w:lang w:val="en-IN"/>
        </w:rPr>
        <w:t xml:space="preserve">Software allows engineers to model the entire refrigeration system, including compressors, evaporators, condensers, expansion valves, and refrigerants. This helps in understanding how each component interacts within the system and allows for virtual testing of different configurations.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IN"/>
        </w:rPr>
      </w:pPr>
      <w:r>
        <w:rPr>
          <w:rFonts w:hint="default" w:ascii="Times New Roman" w:hAnsi="Times New Roman" w:cs="Times New Roman"/>
          <w:b/>
          <w:bCs/>
          <w:sz w:val="24"/>
          <w:szCs w:val="24"/>
          <w:vertAlign w:val="baseline"/>
          <w:lang w:val="en-IN"/>
        </w:rPr>
        <w:t xml:space="preserve">Performance Simulation: </w:t>
      </w:r>
      <w:r>
        <w:rPr>
          <w:rFonts w:hint="default" w:ascii="Times New Roman" w:hAnsi="Times New Roman" w:cs="Times New Roman"/>
          <w:sz w:val="24"/>
          <w:szCs w:val="24"/>
          <w:vertAlign w:val="baseline"/>
          <w:lang w:val="en-IN"/>
        </w:rPr>
        <w:t>Engineers can use software to simulate the performance of the refrigeration cycle under various operating conditions, such as different loads, ambient temperatures, and refrigerant flow rates. This enables them to optimize the system for maximum efficiency and capacity.</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IN"/>
        </w:rPr>
      </w:pPr>
      <w:r>
        <w:rPr>
          <w:rFonts w:hint="default" w:ascii="Times New Roman" w:hAnsi="Times New Roman" w:cs="Times New Roman"/>
          <w:b/>
          <w:bCs/>
          <w:sz w:val="24"/>
          <w:szCs w:val="24"/>
          <w:vertAlign w:val="baseline"/>
          <w:lang w:val="en-IN"/>
        </w:rPr>
        <w:t xml:space="preserve">Component Selection: </w:t>
      </w:r>
      <w:r>
        <w:rPr>
          <w:rFonts w:hint="default" w:ascii="Times New Roman" w:hAnsi="Times New Roman" w:cs="Times New Roman"/>
          <w:sz w:val="24"/>
          <w:szCs w:val="24"/>
          <w:vertAlign w:val="baseline"/>
          <w:lang w:val="en-IN"/>
        </w:rPr>
        <w:t>Software often includes databases of different refrigeration components, such as compressors and heat exchangers, along with their performance characteristics. Engineers can use this information to select the most suitable components for their specific application.</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vertAlign w:val="baseline"/>
          <w:lang w:val="en-IN"/>
        </w:rPr>
      </w:pP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en-IN"/>
        </w:rPr>
      </w:pPr>
      <w:r>
        <w:rPr>
          <w:rFonts w:hint="default" w:ascii="Times New Roman" w:hAnsi="Times New Roman" w:cs="Times New Roman"/>
          <w:sz w:val="24"/>
          <w:szCs w:val="24"/>
          <w:vertAlign w:val="baseline"/>
          <w:lang w:val="en-IN"/>
        </w:rPr>
        <w:t>Activity : Heat Load calculation using Software</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en-IN"/>
        </w:rPr>
      </w:pPr>
      <w:r>
        <w:rPr>
          <w:rFonts w:hint="default" w:ascii="Times New Roman" w:hAnsi="Times New Roman" w:cs="Times New Roman"/>
          <w:sz w:val="24"/>
          <w:szCs w:val="24"/>
          <w:vertAlign w:val="baseline"/>
          <w:lang w:val="en-IN"/>
        </w:rPr>
        <w:t xml:space="preserve">Class : TY - Refrigeration and Air Conditioning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4"/>
          <w:szCs w:val="24"/>
          <w:vertAlign w:val="baseline"/>
          <w:lang w:val="en-IN"/>
        </w:rPr>
      </w:pPr>
      <w:r>
        <w:rPr>
          <w:rFonts w:hint="default" w:ascii="Times New Roman" w:hAnsi="Times New Roman" w:cs="Times New Roman"/>
          <w:sz w:val="24"/>
          <w:szCs w:val="24"/>
          <w:vertAlign w:val="baseline"/>
          <w:lang w:val="en-IN"/>
        </w:rPr>
        <w:t xml:space="preserve">Description:  </w:t>
      </w:r>
      <w:r>
        <w:rPr>
          <w:rFonts w:hint="default" w:ascii="Times New Roman" w:hAnsi="Times New Roman" w:cs="Times New Roman"/>
          <w:b w:val="0"/>
          <w:bCs w:val="0"/>
          <w:sz w:val="24"/>
          <w:szCs w:val="24"/>
          <w:vertAlign w:val="baseline"/>
          <w:lang w:val="en-IN"/>
        </w:rPr>
        <w:t xml:space="preserve">Heat load calculation software analyzes factors like room dimensions, materials, occupancy, equipment, and weather to determine heat gain or loss. It integrates weather data, accounts for internal heat sources, and simulates occupancy and activity levels. The software calculates total heat load and provides recommendations for HVAC system sizing and energy efficiency measures, aiding in the design of optimized indoor environments.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sz w:val="24"/>
          <w:szCs w:val="24"/>
          <w:vertAlign w:val="baseline"/>
          <w:lang w:val="en-IN"/>
        </w:rPr>
      </w:pP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 xml:space="preserve">Activity : Energy Bill Calculation using website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textAlignment w:val="auto"/>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 xml:space="preserve">Class:  B.Tech Energy Management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 xml:space="preserve">Description:    Energy bill calculation websites offer quick and accurate estimates of energy costs based on consumption data and local utility rates. Users input relevant information such as usage patterns and tariff details to generate personalized assessments. These platforms often incorporate energy-saving tips and comparison tools to promote efficiency and cost reduction. With user-friendly interfaces, they empower individuals and businesses to better manage their energy expenses with ease.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cs="Times New Roman"/>
          <w:sz w:val="24"/>
          <w:szCs w:val="24"/>
          <w:vertAlign w:val="baseline"/>
          <w:lang w:val="en-IN"/>
        </w:rPr>
      </w:pP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Activity: Case Study</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4"/>
          <w:szCs w:val="24"/>
          <w:lang w:val="en-IN"/>
        </w:rPr>
      </w:pPr>
      <w:r>
        <w:rPr>
          <w:rFonts w:hint="default" w:ascii="Times New Roman" w:hAnsi="Times New Roman" w:cs="Times New Roman"/>
          <w:sz w:val="24"/>
          <w:szCs w:val="24"/>
          <w:vertAlign w:val="baseline"/>
          <w:lang w:val="en-IN"/>
        </w:rPr>
        <w:t xml:space="preserve">Class:   B.Tech Energy Management and TY - Refrigeration and Air Conditioning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cs="Times New Roman"/>
          <w:sz w:val="24"/>
          <w:szCs w:val="24"/>
          <w:vertAlign w:val="baseline"/>
          <w:lang w:val="en-IN"/>
        </w:rPr>
      </w:pPr>
      <w:r>
        <w:rPr>
          <w:rFonts w:hint="default" w:ascii="Times New Roman" w:hAnsi="Times New Roman" w:cs="Times New Roman"/>
          <w:sz w:val="24"/>
          <w:szCs w:val="24"/>
          <w:vertAlign w:val="baseline"/>
          <w:lang w:val="en-IN"/>
        </w:rPr>
        <w:t>Description :In teaching, students learn case study searching and analysis to understand real-world applications of theoretical concepts. They explore diverse scenarios, apply critical thinking skills, and extract insights to solve complex problems. Through this process, students enhance their research abilities, decision-making skills, and grasp of practical implications within their field of study. Ultimately, case study analysis fosters a deeper understanding of subject matter and prepares students for future professional challenges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lang w:val="en-IN"/>
        </w:rPr>
      </w:pPr>
      <w:r>
        <w:rPr>
          <w:rFonts w:hint="default" w:ascii="Times New Roman" w:hAnsi="Times New Roman" w:cs="Times New Roman"/>
          <w:sz w:val="24"/>
          <w:szCs w:val="24"/>
          <w:lang w:val="en-IN"/>
        </w:rPr>
        <w:t xml:space="preserve">  </w:t>
      </w:r>
      <w:r>
        <w:rPr>
          <w:rFonts w:hint="default" w:ascii="Times New Roman" w:hAnsi="Times New Roman" w:cs="Times New Roman"/>
          <w:sz w:val="24"/>
          <w:szCs w:val="24"/>
          <w:lang w:val="en-IN"/>
        </w:rPr>
        <w:br w:type="textWrapping"/>
      </w:r>
      <w:r>
        <w:rPr>
          <w:rFonts w:hint="default" w:ascii="Times New Roman" w:hAnsi="Times New Roman" w:cs="Times New Roman"/>
          <w:sz w:val="24"/>
          <w:szCs w:val="24"/>
          <w:lang w:val="en-IN"/>
        </w:rPr>
        <w:br w:type="textWrapping"/>
      </w:r>
      <w:r>
        <w:rPr>
          <w:rFonts w:hint="default" w:ascii="Times New Roman" w:hAnsi="Times New Roman" w:cs="Times New Roman"/>
          <w:sz w:val="24"/>
          <w:szCs w:val="24"/>
          <w:lang w:val="en-IN"/>
        </w:rPr>
        <w:t>Mr.G.M.Chendke</w:t>
      </w:r>
    </w:p>
    <w:p>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 Assistant Professor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4"/>
          <w:szCs w:val="24"/>
          <w:lang w:val="en-IN"/>
        </w:rPr>
      </w:pPr>
      <w:bookmarkStart w:id="0" w:name="_GoBack"/>
      <w:bookmarkEnd w:id="0"/>
    </w:p>
    <w:p>
      <w:pPr>
        <w:spacing w:before="240" w:line="360" w:lineRule="auto"/>
        <w:rPr>
          <w:rFonts w:hint="default" w:ascii="Times New Roman" w:hAnsi="Times New Roman" w:cs="Times New Roman"/>
          <w:sz w:val="24"/>
          <w:szCs w:val="24"/>
          <w:lang w:val="en-IN"/>
        </w:rPr>
      </w:pPr>
    </w:p>
    <w:p/>
    <w:sectPr>
      <w:pgSz w:w="12240" w:h="15840"/>
      <w:pgMar w:top="72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8F4578"/>
    <w:multiLevelType w:val="singleLevel"/>
    <w:tmpl w:val="3D8F457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D06796"/>
    <w:rsid w:val="001A521F"/>
    <w:rsid w:val="00715530"/>
    <w:rsid w:val="007770C3"/>
    <w:rsid w:val="009D014E"/>
    <w:rsid w:val="00D06796"/>
    <w:rsid w:val="00E045B7"/>
    <w:rsid w:val="00EE1F5F"/>
    <w:rsid w:val="01F922F4"/>
    <w:rsid w:val="70435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qFormat="1"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qFormat="1"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qFormat="1" w:unhideWhenUsed="0" w:uiPriority="70" w:semiHidden="0" w:name="Dark List Accent 2"/>
    <w:lsdException w:qFormat="1"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qFormat="1" w:unhideWhenUsed="0" w:uiPriority="70" w:semiHidden="0" w:name="Dark List Accent 3"/>
    <w:lsdException w:qFormat="1"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qFormat="1"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qFormat="1"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Tahoma" w:hAnsi="Tahoma" w:cs="Tahoma"/>
      <w:sz w:val="16"/>
      <w:szCs w:val="16"/>
    </w:rPr>
  </w:style>
  <w:style w:type="paragraph" w:styleId="5">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22"/>
    <w:rPr>
      <w:b/>
      <w:bCs/>
    </w:rPr>
  </w:style>
  <w:style w:type="table" w:styleId="7">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63</Words>
  <Characters>361</Characters>
  <Lines>3</Lines>
  <Paragraphs>1</Paragraphs>
  <TotalTime>1</TotalTime>
  <ScaleCrop>false</ScaleCrop>
  <LinksUpToDate>false</LinksUpToDate>
  <CharactersWithSpaces>423</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2019-11-23T09:33:00Z</dcterms:created>
  <dc:creator>dell</dc:creator>
  <cp:lastModifiedBy>Ghanashyam Chendke</cp:lastModifiedBy>
  <dcterms:modified xsi:type="dcterms:W3CDTF">2024-04-14T07:16:49Z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CF27FC0530084AC1B43E8015133A7D3A_12</vt:lpwstr>
  </property>
</Properties>
</file>